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767" w:type="dxa"/>
        <w:tblInd w:w="93" w:type="dxa"/>
        <w:tblLayout w:type="autofit"/>
        <w:tblCellMar>
          <w:top w:w="0" w:type="dxa"/>
          <w:left w:w="108" w:type="dxa"/>
          <w:bottom w:w="0" w:type="dxa"/>
          <w:right w:w="108" w:type="dxa"/>
        </w:tblCellMar>
      </w:tblPr>
      <w:tblGrid>
        <w:gridCol w:w="1257"/>
        <w:gridCol w:w="1710"/>
        <w:gridCol w:w="722"/>
        <w:gridCol w:w="1363"/>
        <w:gridCol w:w="945"/>
        <w:gridCol w:w="4515"/>
        <w:gridCol w:w="3255"/>
      </w:tblGrid>
      <w:tr>
        <w:trPr>
          <w:trHeight w:val="510" w:hRule="atLeast"/>
        </w:trPr>
        <w:tc>
          <w:tcPr>
            <w:tcW w:w="13767" w:type="dxa"/>
            <w:gridSpan w:val="7"/>
            <w:tcBorders>
              <w:top w:val="nil"/>
              <w:left w:val="nil"/>
              <w:bottom w:val="nil"/>
              <w:right w:val="nil"/>
            </w:tcBorders>
            <w:noWrap w:val="0"/>
            <w:vAlign w:val="center"/>
          </w:tcPr>
          <w:p>
            <w:pPr>
              <w:widowControl/>
              <w:jc w:val="center"/>
              <w:textAlignment w:val="center"/>
              <w:rPr>
                <w:rFonts w:ascii="黑体" w:hAnsi="宋体" w:eastAsia="黑体" w:cs="黑体"/>
                <w:b/>
                <w:bCs/>
                <w:color w:val="auto"/>
                <w:sz w:val="40"/>
                <w:szCs w:val="40"/>
              </w:rPr>
            </w:pPr>
            <w:bookmarkStart w:id="0" w:name="_GoBack"/>
            <w:r>
              <w:rPr>
                <w:rFonts w:hint="eastAsia" w:ascii="黑体" w:hAnsi="宋体" w:eastAsia="黑体" w:cs="黑体"/>
                <w:b/>
                <w:bCs/>
                <w:color w:val="auto"/>
                <w:kern w:val="0"/>
                <w:sz w:val="40"/>
                <w:szCs w:val="40"/>
                <w:lang w:bidi="ar"/>
              </w:rPr>
              <w:t>义乌工商职业技术学院202</w:t>
            </w:r>
            <w:r>
              <w:rPr>
                <w:rFonts w:hint="eastAsia" w:ascii="黑体" w:hAnsi="宋体" w:eastAsia="黑体" w:cs="黑体"/>
                <w:b/>
                <w:bCs/>
                <w:color w:val="auto"/>
                <w:kern w:val="0"/>
                <w:sz w:val="40"/>
                <w:szCs w:val="40"/>
                <w:lang w:val="en-US" w:eastAsia="zh-CN" w:bidi="ar"/>
              </w:rPr>
              <w:t>3</w:t>
            </w:r>
            <w:r>
              <w:rPr>
                <w:rFonts w:hint="eastAsia" w:ascii="黑体" w:hAnsi="宋体" w:eastAsia="黑体" w:cs="黑体"/>
                <w:b/>
                <w:bCs/>
                <w:color w:val="auto"/>
                <w:kern w:val="0"/>
                <w:sz w:val="40"/>
                <w:szCs w:val="40"/>
                <w:lang w:bidi="ar"/>
              </w:rPr>
              <w:t>年专任教师公开招聘计划</w:t>
            </w:r>
            <w:bookmarkEnd w:id="0"/>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二级学院（部）</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招聘岗位</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人数</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学历学位</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年龄</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专业要求</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auto"/>
                <w:sz w:val="22"/>
                <w:szCs w:val="22"/>
              </w:rPr>
            </w:pPr>
            <w:r>
              <w:rPr>
                <w:rFonts w:hint="eastAsia" w:ascii="仿宋_GB2312" w:hAnsi="仿宋_GB2312" w:eastAsia="仿宋_GB2312" w:cs="仿宋_GB2312"/>
                <w:b/>
                <w:bCs/>
                <w:color w:val="auto"/>
                <w:kern w:val="0"/>
                <w:sz w:val="22"/>
                <w:szCs w:val="22"/>
                <w:lang w:bidi="ar"/>
              </w:rPr>
              <w:t>其他要求和有关说明（执业资格、专业技术职务、工作经历等）</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人文旅游学院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社会工作专任教师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社会学类、民族学类、法学类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b/>
                <w:bCs/>
                <w:color w:val="auto"/>
                <w:kern w:val="0"/>
                <w:sz w:val="22"/>
                <w:szCs w:val="22"/>
                <w:lang w:bidi="ar"/>
              </w:rPr>
            </w:pP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人文旅游学院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会展策划与管理专业群专任教师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数字媒体技术、设计学类、新闻传播学类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b/>
                <w:bCs/>
                <w:color w:val="auto"/>
                <w:kern w:val="0"/>
                <w:sz w:val="22"/>
                <w:szCs w:val="22"/>
                <w:lang w:bidi="ar"/>
              </w:rPr>
            </w:pP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经济管理学院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金融服务与管理专任教师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应用经济学类、计算机科学与技术类、数学类、应用统计类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具有高级专业技术职务者年龄可放宽至45周岁。</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经济管理学院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大数据与会计专任教师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会计、税务、审计</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具有高级专业技术职务者年龄可放宽至45周岁。</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经济管理学院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市场营销专任教师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计算机科学与技术类、新闻传播学类、工商管理类、管理科学与工程类、国际贸易学、统计学</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具有高级专业技术职务者年龄可放宽至45周岁。</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机电信息学院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人工智能技术应用专任教师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计算机科学与技术类、软件工程类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具有实践项目经验，本科为人工智能专业或数据科学与大数据技术专业或计算机科学与技术专业。</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机电信息学院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计算机应用技术专任教师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计算机科学与技术类、软件工程类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具有实践项目经验，本科为数字媒体技术专业或计算机科学与技术专业。</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机电信息学院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电气自动化技术专任教师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电力系统及其自动化、控制理论与控制工程、检测技术与自动化装置、系统工程</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机电信息学院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工业机器人技术专任教师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机械工程类、电气工程类、控制科学与工程类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外语外贸学院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国际经济与贸易专任教师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理论经济学类、应用经济学类、金融类、应用统计类、国际商务类、统计学类、工商管理类、经济法学、国际法学、国际关系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b/>
                <w:bCs/>
                <w:color w:val="auto"/>
                <w:kern w:val="0"/>
                <w:sz w:val="22"/>
                <w:szCs w:val="22"/>
                <w:lang w:bidi="ar"/>
              </w:rPr>
            </w:pP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外语外贸学院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现代物流管理专任教师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管理科学与工程类、工商管理类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近五年来研究领域为物流管理、供应链管理。</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建筑工程学院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市政工程技术专任教师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市政工程、道路与铁道工程、桥梁与隧道工程、土木水利</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具有高级专业技术职务者年龄可放宽到45周岁。</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建筑工程学院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建筑装饰工程技术专任教师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建筑学类、风景园林学类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具有高级专业技术职务者年龄可放宽到45周岁。</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建筑工程学院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建设工程管理、建筑工程技术专任教师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土木工程类、安全科学与工程类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具有高级专业技术职务者年龄可放宽到45周岁</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创意设计学院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产品艺术设计专任教师（中意合作办学）</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设计学类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D0D0D"/>
                <w:kern w:val="0"/>
                <w:sz w:val="24"/>
                <w:szCs w:val="24"/>
                <w:u w:val="none"/>
                <w:lang w:val="en-US" w:eastAsia="zh-CN" w:bidi="ar"/>
              </w:rPr>
            </w:pPr>
            <w:r>
              <w:rPr>
                <w:rFonts w:hint="eastAsia" w:ascii="仿宋_GB2312" w:hAnsi="仿宋_GB2312" w:eastAsia="仿宋_GB2312" w:cs="仿宋_GB2312"/>
                <w:i w:val="0"/>
                <w:iCs w:val="0"/>
                <w:color w:val="0D0D0D"/>
                <w:kern w:val="0"/>
                <w:sz w:val="24"/>
                <w:szCs w:val="24"/>
                <w:u w:val="none"/>
                <w:lang w:val="en-US" w:eastAsia="zh-CN" w:bidi="ar"/>
              </w:rPr>
              <w:t>同时满足以下要求：</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D0D0D"/>
                <w:kern w:val="0"/>
                <w:sz w:val="24"/>
                <w:szCs w:val="24"/>
                <w:u w:val="none"/>
                <w:lang w:val="en-US" w:eastAsia="zh-CN" w:bidi="ar"/>
              </w:rPr>
            </w:pPr>
            <w:r>
              <w:rPr>
                <w:rFonts w:hint="eastAsia" w:ascii="仿宋_GB2312" w:hAnsi="仿宋_GB2312" w:eastAsia="仿宋_GB2312" w:cs="仿宋_GB2312"/>
                <w:i w:val="0"/>
                <w:iCs w:val="0"/>
                <w:color w:val="0D0D0D"/>
                <w:kern w:val="0"/>
                <w:sz w:val="24"/>
                <w:szCs w:val="24"/>
                <w:u w:val="none"/>
                <w:lang w:val="en-US" w:eastAsia="zh-CN" w:bidi="ar"/>
              </w:rPr>
              <w:t xml:space="preserve">1.本科为工业设计方向；  </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D0D0D"/>
                <w:kern w:val="0"/>
                <w:sz w:val="24"/>
                <w:szCs w:val="24"/>
                <w:u w:val="none"/>
                <w:lang w:val="en-US" w:eastAsia="zh-CN" w:bidi="ar"/>
              </w:rPr>
              <w:t>2.英语雅思6.5以上或托福95分以上。</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创业学院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电子商务专任教师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应用经济学类、工商管理类、农业经济管理类、计算机科学与技术类、管理科学与工程类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b/>
                <w:bCs/>
                <w:color w:val="auto"/>
                <w:kern w:val="0"/>
                <w:sz w:val="22"/>
                <w:szCs w:val="22"/>
                <w:lang w:bidi="ar"/>
              </w:rPr>
            </w:pP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创业学院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跨境电子商务专任教师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应用经济学类、工商管理类、管理科学与工程类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b/>
                <w:bCs/>
                <w:color w:val="auto"/>
                <w:kern w:val="0"/>
                <w:sz w:val="22"/>
                <w:szCs w:val="22"/>
                <w:lang w:bidi="ar"/>
              </w:rPr>
            </w:pP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创业学院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商务数据分析与应用</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应用经济学类、工商管理类、计算机科学与技术类、数学类、管理科学与工程类</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统计学类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b/>
                <w:bCs/>
                <w:color w:val="auto"/>
                <w:kern w:val="0"/>
                <w:sz w:val="22"/>
                <w:szCs w:val="22"/>
                <w:lang w:bidi="ar"/>
              </w:rPr>
            </w:pP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创业学院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网络营销与直播电商专任教师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应用经济学类、工商管理类、新闻传播学类、管理科学与工程类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b/>
                <w:bCs/>
                <w:color w:val="auto"/>
                <w:kern w:val="0"/>
                <w:sz w:val="22"/>
                <w:szCs w:val="22"/>
                <w:lang w:bidi="ar"/>
              </w:rPr>
            </w:pP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马克思主义学院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思政专任教师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马克思主义理论类、政治学类、马克思主义哲学</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中共党员（含预备党员）。</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马克思主义学院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体育专任教师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体育学类</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1.要求本科为体育相关专业；</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2.具有较高的运动队训练水平；</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3.国家健将级别运动员学历可为本科。</w:t>
            </w: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国际教育学院</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国际中文专任教师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Style w:val="4"/>
                <w:rFonts w:hint="eastAsia" w:ascii="仿宋_GB2312" w:hAnsi="仿宋_GB2312" w:eastAsia="仿宋_GB2312" w:cs="仿宋_GB2312"/>
                <w:sz w:val="24"/>
                <w:szCs w:val="24"/>
                <w:lang w:val="en-US" w:eastAsia="zh-CN" w:bidi="ar"/>
              </w:rPr>
              <w:t>语言学及应用语言学、汉语国际教育</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b/>
                <w:bCs/>
                <w:color w:val="auto"/>
                <w:kern w:val="0"/>
                <w:sz w:val="22"/>
                <w:szCs w:val="22"/>
                <w:lang w:bidi="ar"/>
              </w:rPr>
            </w:pPr>
          </w:p>
        </w:tc>
      </w:tr>
      <w:tr>
        <w:trPr>
          <w:trHeight w:val="480" w:hRule="atLeast"/>
        </w:trPr>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学生处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心理健康教育中心专任教师</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硕士研究生及以上</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35周岁以下</w:t>
            </w:r>
          </w:p>
        </w:tc>
        <w:tc>
          <w:tcPr>
            <w:tcW w:w="45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心理学类、心理健康教育、精神病与精神卫生学</w:t>
            </w:r>
          </w:p>
        </w:tc>
        <w:tc>
          <w:tcPr>
            <w:tcW w:w="3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仿宋_GB2312" w:hAnsi="仿宋_GB2312" w:eastAsia="仿宋_GB2312" w:cs="仿宋_GB2312"/>
                <w:b/>
                <w:bCs/>
                <w:color w:val="auto"/>
                <w:kern w:val="0"/>
                <w:sz w:val="22"/>
                <w:szCs w:val="22"/>
                <w:lang w:bidi="ar"/>
              </w:rPr>
            </w:pPr>
            <w:r>
              <w:rPr>
                <w:rFonts w:hint="eastAsia" w:ascii="仿宋_GB2312" w:hAnsi="仿宋_GB2312" w:eastAsia="仿宋_GB2312" w:cs="仿宋_GB2312"/>
                <w:i w:val="0"/>
                <w:iCs w:val="0"/>
                <w:color w:val="000000"/>
                <w:kern w:val="0"/>
                <w:sz w:val="24"/>
                <w:szCs w:val="24"/>
                <w:u w:val="none"/>
                <w:lang w:val="en-US" w:eastAsia="zh-CN" w:bidi="ar"/>
              </w:rPr>
              <w:t>要求本科为心理学相关专业。</w:t>
            </w:r>
          </w:p>
        </w:tc>
      </w:tr>
      <w:tr>
        <w:trPr>
          <w:trHeight w:val="270" w:hRule="atLeast"/>
        </w:trPr>
        <w:tc>
          <w:tcPr>
            <w:tcW w:w="13767" w:type="dxa"/>
            <w:gridSpan w:val="7"/>
            <w:tcBorders>
              <w:top w:val="nil"/>
              <w:left w:val="nil"/>
              <w:bottom w:val="nil"/>
              <w:right w:val="nil"/>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备注：</w:t>
            </w:r>
            <w:r>
              <w:rPr>
                <w:rFonts w:hint="eastAsia" w:ascii="宋体" w:hAnsi="宋体" w:cs="宋体"/>
                <w:color w:val="auto"/>
                <w:kern w:val="0"/>
                <w:sz w:val="20"/>
                <w:szCs w:val="20"/>
                <w:lang w:val="en-US" w:eastAsia="zh-CN" w:bidi="ar"/>
              </w:rPr>
              <w:t>专业要求均按照三级专业目录或四级专业名称确定；</w:t>
            </w:r>
            <w:r>
              <w:rPr>
                <w:rFonts w:hint="eastAsia" w:ascii="宋体" w:hAnsi="宋体" w:cs="宋体"/>
                <w:color w:val="auto"/>
                <w:kern w:val="0"/>
                <w:sz w:val="20"/>
                <w:szCs w:val="20"/>
                <w:lang w:bidi="ar"/>
              </w:rPr>
              <w:t>境外学历专业，按国内相关专业进行认定把握</w:t>
            </w:r>
            <w:r>
              <w:rPr>
                <w:rFonts w:hint="eastAsia" w:ascii="宋体" w:hAnsi="宋体" w:cs="宋体"/>
                <w:color w:val="auto"/>
                <w:kern w:val="0"/>
                <w:sz w:val="20"/>
                <w:szCs w:val="20"/>
                <w:lang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E1A1F"/>
    <w:rsid w:val="FF7E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2023-01-19T10:32:00Z</dcterms:created>
  <dc:creator>Alvin</dc:creator>
  <cp:lastModifiedBy>Alvin</cp:lastModifiedBy>
  <dcterms:modified xsi:type="dcterms:W3CDTF">2023-01-19T10:33:29Z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48DBE622A3273630D5ABC86330E41796</vt:lpwstr>
  </property>
</Properties>
</file>