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</w:rPr>
        <w:t>广东医科大学附属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顺德妇女儿童</w:t>
      </w:r>
      <w:r>
        <w:rPr>
          <w:rFonts w:hint="eastAsia" w:ascii="黑体" w:hAnsi="黑体" w:eastAsia="黑体" w:cs="黑体"/>
          <w:sz w:val="40"/>
          <w:szCs w:val="40"/>
        </w:rPr>
        <w:t>医院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招聘博士/博士后公告</w:t>
      </w:r>
    </w:p>
    <w:p>
      <w:pPr>
        <w:pStyle w:val="2"/>
        <w:numPr>
          <w:ilvl w:val="0"/>
          <w:numId w:val="0"/>
        </w:numPr>
        <w:ind w:leftChars="400"/>
        <w:rPr>
          <w:rFonts w:hint="eastAsia"/>
        </w:rPr>
      </w:pPr>
    </w:p>
    <w:p>
      <w:pPr>
        <w:spacing w:line="360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（一）医院简介</w:t>
      </w:r>
    </w:p>
    <w:p>
      <w:pPr>
        <w:pStyle w:val="2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广东医科大学顺德妇女儿童医院是集医疗、保健、科研、教学为一体的三级甲等妇幼保健院，是顺德区内首家获省卫健委批准开展人类辅助生殖（试管婴儿）技术的医院，是广东省高等医学院校教学医院和广东医科大学直属附属医院。医院致力提升当地妇孺群体健康水平，构建高质量妇幼保健服务新模式，为当地妇女儿童健康事业做出了积极而卓越的贡献。</w:t>
      </w:r>
      <w:r>
        <w:rPr>
          <w:rFonts w:hint="eastAsia" w:ascii="仿宋" w:hAnsi="仿宋" w:cs="仿宋"/>
          <w:lang w:val="en-US" w:eastAsia="zh-CN"/>
        </w:rPr>
        <w:t>医院连续五年在国家三级妇幼保健机构绩效考核中排名全省前十，其中2023年排名全省第七。</w:t>
      </w:r>
    </w:p>
    <w:p>
      <w:pPr>
        <w:pStyle w:val="2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医院以孕妇、儿童、妇女为主要服务人群，坚持走“大专科、强综合”的内涵式发展之路。开放床位530张，医院年门诊量96万人次，年住院病人3万人次，年分娩量8500余例。是全区妇幼医疗保健技术指导中心，担负着全区妇产科和新生儿科危重病人的抢救工作。全区的新生儿急救中心、危重症孕产妇救治中心、产前诊断中心</w:t>
      </w:r>
      <w:r>
        <w:rPr>
          <w:rFonts w:hint="eastAsia" w:ascii="仿宋" w:hAnsi="仿宋" w:cs="仿宋"/>
          <w:lang w:val="en-US" w:eastAsia="zh-CN"/>
        </w:rPr>
        <w:t>、</w:t>
      </w:r>
      <w:r>
        <w:rPr>
          <w:rFonts w:hint="eastAsia" w:ascii="仿宋" w:hAnsi="仿宋" w:eastAsia="仿宋" w:cs="仿宋"/>
          <w:lang w:val="en-US" w:eastAsia="zh-CN"/>
        </w:rPr>
        <w:t>新生儿疾病筛查中心等10大诊疗中心设在我院。现有国家级、省级专科联盟26个，佛山市重点专科和特色专科8个，顺德区重点专科10个。</w:t>
      </w:r>
    </w:p>
    <w:p>
      <w:pPr>
        <w:pStyle w:val="2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医院拥有设备先进、力量雄厚的广东医科大学妇幼研究所、中心实验室、出生队列研究室、儿童呼吸疾病研究所、医学遗传实验室、广东医科大学出生缺陷防控重点实验室，引进博士和博士后，成立博士后联合培养基地，高标准打造广东医科大学妇幼创新中心</w:t>
      </w:r>
      <w:r>
        <w:rPr>
          <w:rFonts w:hint="eastAsia" w:ascii="仿宋" w:hAnsi="仿宋" w:cs="仿宋"/>
          <w:lang w:val="en-US" w:eastAsia="zh-CN"/>
        </w:rPr>
        <w:t>，</w:t>
      </w:r>
      <w:r>
        <w:rPr>
          <w:rFonts w:hint="eastAsia" w:ascii="仿宋" w:hAnsi="仿宋" w:eastAsia="仿宋" w:cs="仿宋"/>
          <w:lang w:val="en-US" w:eastAsia="zh-CN"/>
        </w:rPr>
        <w:t>是广东省新生儿科专科护士培训临床实践基地、广东医科大学本科护理学（助产学）“2+2”、儿科学“3+2”协同育人教学基地、中国妇幼保健协会专科助产士临床培训基地。</w:t>
      </w:r>
    </w:p>
    <w:p>
      <w:pPr>
        <w:pStyle w:val="2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医院正以“内强体系、外建网络”为发展思路，不断完善整合型医疗服务体系，建设高标准的顺德区妇幼医学中心，打造高质量的粤港澳大湾区妇幼健康管理体系，预计未来</w:t>
      </w:r>
      <w:r>
        <w:rPr>
          <w:rFonts w:hint="eastAsia" w:ascii="仿宋" w:hAnsi="仿宋" w:cs="仿宋"/>
          <w:lang w:val="en-US" w:eastAsia="zh-CN"/>
        </w:rPr>
        <w:t>三</w:t>
      </w:r>
      <w:r>
        <w:rPr>
          <w:rFonts w:hint="eastAsia" w:ascii="仿宋" w:hAnsi="仿宋" w:eastAsia="仿宋" w:cs="仿宋"/>
          <w:lang w:val="en-US" w:eastAsia="zh-CN"/>
        </w:rPr>
        <w:t>年</w:t>
      </w:r>
      <w:r>
        <w:rPr>
          <w:rFonts w:hint="eastAsia" w:ascii="仿宋" w:hAnsi="仿宋" w:cs="仿宋"/>
          <w:lang w:val="en-US" w:eastAsia="zh-CN"/>
        </w:rPr>
        <w:t>将</w:t>
      </w:r>
      <w:r>
        <w:rPr>
          <w:rFonts w:hint="eastAsia" w:ascii="仿宋" w:hAnsi="仿宋" w:eastAsia="仿宋" w:cs="仿宋"/>
          <w:lang w:val="en-US" w:eastAsia="zh-CN"/>
        </w:rPr>
        <w:t>建成1000个床位，总建筑面积26万平方米的智慧化、现代化新医院。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drawing>
          <wp:inline distT="0" distB="0" distL="114300" distR="114300">
            <wp:extent cx="5337810" cy="3011170"/>
            <wp:effectExtent l="0" t="0" r="15240" b="17780"/>
            <wp:docPr id="3" name="图片 3" descr="微信图片_20240904091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9040917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7810" cy="301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br w:type="page"/>
      </w:r>
    </w:p>
    <w:p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岗位需求及联系方式</w:t>
      </w:r>
    </w:p>
    <w:p>
      <w:pPr>
        <w:pStyle w:val="2"/>
        <w:numPr>
          <w:ilvl w:val="0"/>
          <w:numId w:val="0"/>
        </w:numPr>
        <w:ind w:firstLine="321" w:firstLineChars="100"/>
        <w:rPr>
          <w:rFonts w:hint="default" w:cs="Times New Roman"/>
          <w:b/>
          <w:bCs/>
          <w:lang w:val="en-US" w:eastAsia="zh-CN"/>
        </w:rPr>
      </w:pPr>
      <w:r>
        <w:rPr>
          <w:rFonts w:hint="eastAsia" w:cs="Times New Roman"/>
          <w:b/>
          <w:bCs/>
          <w:lang w:val="en-US" w:eastAsia="zh-CN"/>
        </w:rPr>
        <w:t>1、引进博士</w:t>
      </w:r>
    </w:p>
    <w:tbl>
      <w:tblPr>
        <w:tblStyle w:val="8"/>
        <w:tblW w:w="10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3000"/>
        <w:gridCol w:w="850"/>
        <w:gridCol w:w="1950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7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  <w:t>招聘岗位</w:t>
            </w:r>
          </w:p>
        </w:tc>
        <w:tc>
          <w:tcPr>
            <w:tcW w:w="30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  <w:t>专业要求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  <w:t>招聘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  <w:t>人数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7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新生儿科学科带头人</w:t>
            </w:r>
          </w:p>
        </w:tc>
        <w:tc>
          <w:tcPr>
            <w:tcW w:w="30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儿科学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（A100202、A100220）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9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0757-22666682、22613097</w:t>
            </w:r>
          </w:p>
        </w:tc>
        <w:tc>
          <w:tcPr>
            <w:tcW w:w="16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sdfybjyhrd@qq.com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7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儿童保健科学科带头人</w:t>
            </w:r>
          </w:p>
        </w:tc>
        <w:tc>
          <w:tcPr>
            <w:tcW w:w="30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儿科学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（A100202、A100220）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7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儿童心理行为中心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学科带头人</w:t>
            </w:r>
          </w:p>
        </w:tc>
        <w:tc>
          <w:tcPr>
            <w:tcW w:w="30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儿科学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（A100202、A100220）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精神病与精神卫生学（A100205、A100223）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儿少卫生与妇幼保健学（A100404）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7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心理科学科带头人</w:t>
            </w:r>
          </w:p>
        </w:tc>
        <w:tc>
          <w:tcPr>
            <w:tcW w:w="30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精神病与精神卫生学（A100205、A100223）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临床医学（A1002）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7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营养科带头人</w:t>
            </w:r>
          </w:p>
        </w:tc>
        <w:tc>
          <w:tcPr>
            <w:tcW w:w="30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营养与食品卫生学（A100403）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7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儿童肾科、神经科骨干</w:t>
            </w:r>
          </w:p>
        </w:tc>
        <w:tc>
          <w:tcPr>
            <w:tcW w:w="30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外科学（A100210、A100227）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7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妇科医生</w:t>
            </w:r>
          </w:p>
        </w:tc>
        <w:tc>
          <w:tcPr>
            <w:tcW w:w="30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妇产科学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（A100211、A100229）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7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产科医生</w:t>
            </w:r>
          </w:p>
        </w:tc>
        <w:tc>
          <w:tcPr>
            <w:tcW w:w="30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妇产科学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（A100211、A100229）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7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儿科医生</w:t>
            </w:r>
          </w:p>
        </w:tc>
        <w:tc>
          <w:tcPr>
            <w:tcW w:w="30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儿科学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（A100202、A100220）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7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新生儿科医生</w:t>
            </w:r>
          </w:p>
        </w:tc>
        <w:tc>
          <w:tcPr>
            <w:tcW w:w="30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儿科学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（A100202、A100220）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7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外科医生</w:t>
            </w:r>
          </w:p>
        </w:tc>
        <w:tc>
          <w:tcPr>
            <w:tcW w:w="30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外科学（A100210、A100227）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7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内科医生</w:t>
            </w:r>
          </w:p>
        </w:tc>
        <w:tc>
          <w:tcPr>
            <w:tcW w:w="30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内科学（A100201、A100219）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7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临床医生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（耳鼻喉科、皮肤科、眼科、口腔科等）</w:t>
            </w:r>
          </w:p>
        </w:tc>
        <w:tc>
          <w:tcPr>
            <w:tcW w:w="30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临床医学（A1002）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950" w:type="dxa"/>
            <w:vMerge w:val="continue"/>
            <w:shd w:val="clear" w:color="auto" w:fill="FFFF0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8" w:type="dxa"/>
            <w:vMerge w:val="continue"/>
            <w:shd w:val="clear" w:color="auto" w:fill="FFFF0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7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儿童心理行为技师长</w:t>
            </w:r>
          </w:p>
        </w:tc>
        <w:tc>
          <w:tcPr>
            <w:tcW w:w="30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康复医学与理疗学(A100215)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950" w:type="dxa"/>
            <w:vMerge w:val="continue"/>
            <w:shd w:val="clear" w:color="auto" w:fill="FFFF0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8" w:type="dxa"/>
            <w:vMerge w:val="continue"/>
            <w:shd w:val="clear" w:color="auto" w:fill="FFFF0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7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科研助理</w:t>
            </w:r>
          </w:p>
        </w:tc>
        <w:tc>
          <w:tcPr>
            <w:tcW w:w="30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基础医学（A1001）、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临床医学（A1002）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2"/>
        <w:numPr>
          <w:ilvl w:val="0"/>
          <w:numId w:val="0"/>
        </w:numPr>
        <w:ind w:firstLine="32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2.招收博士后（欢迎优秀博士来我院从事博士后研究）</w:t>
      </w:r>
    </w:p>
    <w:tbl>
      <w:tblPr>
        <w:tblStyle w:val="8"/>
        <w:tblW w:w="10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4"/>
        <w:gridCol w:w="2160"/>
        <w:gridCol w:w="720"/>
        <w:gridCol w:w="1470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2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  <w:t>研究方向（可多列）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  <w:t>招收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  <w:t>人数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274" w:type="dxa"/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全生命周期妇幼健康管理体系建设、医院运营精细化管理、妇幼健康区域医疗保健联盟建设与规划、医院文化建设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Chars="0"/>
              <w:jc w:val="center"/>
              <w:textAlignment w:val="auto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医院管理、</w:t>
            </w:r>
          </w:p>
          <w:p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卫生事业管理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0757-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22666682、22613097、22979975、</w:t>
            </w:r>
          </w:p>
        </w:tc>
        <w:tc>
          <w:tcPr>
            <w:tcW w:w="15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sdfybjyhrd@qq.com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274" w:type="dxa"/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儿童血液肿瘤的发育起源、流行病学、营养学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Chars="0"/>
              <w:jc w:val="center"/>
              <w:textAlignment w:val="auto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儿童血液科、</w:t>
            </w:r>
          </w:p>
          <w:p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儿童血液肿瘤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274" w:type="dxa"/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胃肠道炎症性疾病的诱发因素及危险因素和作用机制、姜黄素、肠道干细胞及肠道类器官干预的机制研究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胃肠外科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274" w:type="dxa"/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妇女和儿童代谢性疾病和心血管疾病的流行病学、营养学、发育起源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生物医学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274" w:type="dxa"/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妇科罕见肿瘤家族遗传表观代谢及易感基因研究、多囊卵巢综合征家族遗传多样性研究、阴道微生态与宫颈恶性肿瘤关联性调查及发病机制研究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妇科、肿瘤学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274" w:type="dxa"/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开展脑血管疾病、精神心理疾病个体遗传危险因素和环境因素暴露的研究，筛选遗传易感基因和早期生物标志物，探讨环境X基因互作机制，并开展以生物标志物为指导的干预的策略与措施研究、心肌阿霉素反应蛋白（CARP）在阿霉素诱导的心肌损伤中的作用及机制、出生缺陷防控研究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Chars="0"/>
              <w:jc w:val="center"/>
              <w:textAlignment w:val="auto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遗传学、</w:t>
            </w:r>
          </w:p>
          <w:p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基础医学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274" w:type="dxa"/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支气管哮喘发病风险、防控研究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Chars="0"/>
              <w:jc w:val="center"/>
              <w:textAlignment w:val="auto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生物医学</w:t>
            </w:r>
          </w:p>
          <w:p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Chars="0"/>
              <w:jc w:val="center"/>
              <w:textAlignment w:val="auto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274" w:type="dxa"/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firstLine="0" w:firstLineChars="0"/>
              <w:textAlignment w:val="auto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微量元素代谢和代谢性疾病、肠道菌群与营养健康、营养素稳态平衡和衰老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Chars="0"/>
              <w:jc w:val="center"/>
              <w:textAlignment w:val="auto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生物医学</w:t>
            </w:r>
          </w:p>
          <w:p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pStyle w:val="2"/>
        <w:spacing w:line="360" w:lineRule="auto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2D5D7B"/>
    <w:multiLevelType w:val="singleLevel"/>
    <w:tmpl w:val="9B2D5D7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hNTU2NTBmMzkzMDg1N2UwOGRiMTdmODQ5YTY2MjkifQ=="/>
    <w:docVar w:name="KSO_WPS_MARK_KEY" w:val="9ebe2db2-53fa-4bb2-9473-c0ad3f55639c"/>
  </w:docVars>
  <w:rsids>
    <w:rsidRoot w:val="51FF368A"/>
    <w:rsid w:val="005E2E28"/>
    <w:rsid w:val="023E370E"/>
    <w:rsid w:val="041B0A5C"/>
    <w:rsid w:val="04283858"/>
    <w:rsid w:val="0D2F6CF2"/>
    <w:rsid w:val="0E3E4C56"/>
    <w:rsid w:val="16204C39"/>
    <w:rsid w:val="1A3538E2"/>
    <w:rsid w:val="1E513078"/>
    <w:rsid w:val="1E6C3F37"/>
    <w:rsid w:val="1E82371B"/>
    <w:rsid w:val="23DC09E4"/>
    <w:rsid w:val="25BA7C7E"/>
    <w:rsid w:val="2601406E"/>
    <w:rsid w:val="2C9866FA"/>
    <w:rsid w:val="31E120B9"/>
    <w:rsid w:val="321668CF"/>
    <w:rsid w:val="339F1FBF"/>
    <w:rsid w:val="3A5929C3"/>
    <w:rsid w:val="3AE4097B"/>
    <w:rsid w:val="40310076"/>
    <w:rsid w:val="482A2535"/>
    <w:rsid w:val="4CA66916"/>
    <w:rsid w:val="4E2378AB"/>
    <w:rsid w:val="4E636855"/>
    <w:rsid w:val="4FC84AD1"/>
    <w:rsid w:val="51FF368A"/>
    <w:rsid w:val="54211DC7"/>
    <w:rsid w:val="5F155569"/>
    <w:rsid w:val="60E31987"/>
    <w:rsid w:val="687142E8"/>
    <w:rsid w:val="6C2A4BCD"/>
    <w:rsid w:val="74AB136F"/>
    <w:rsid w:val="79184D62"/>
    <w:rsid w:val="7E31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4"/>
    <w:qFormat/>
    <w:uiPriority w:val="0"/>
    <w:pPr>
      <w:keepNext/>
      <w:keepLines/>
      <w:spacing w:before="340" w:beforeLines="0" w:beforeAutospacing="0" w:after="330" w:afterLines="0" w:afterAutospacing="0" w:line="480" w:lineRule="exact"/>
      <w:outlineLvl w:val="0"/>
    </w:pPr>
    <w:rPr>
      <w:rFonts w:eastAsia="黑体" w:asciiTheme="minorAscii" w:hAnsiTheme="minorAscii" w:cstheme="minorBidi"/>
      <w:kern w:val="44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line="560" w:lineRule="exact"/>
      <w:ind w:firstLine="420" w:firstLineChars="200"/>
      <w:contextualSpacing/>
    </w:pPr>
    <w:rPr>
      <w:rFonts w:eastAsia="仿宋"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toc 1"/>
    <w:basedOn w:val="1"/>
    <w:next w:val="1"/>
    <w:qFormat/>
    <w:uiPriority w:val="0"/>
    <w:pPr>
      <w:ind w:firstLine="0" w:firstLineChars="0"/>
    </w:pPr>
    <w:rPr>
      <w:rFonts w:cs="Times New Roman"/>
    </w:rPr>
  </w:style>
  <w:style w:type="paragraph" w:styleId="6">
    <w:name w:val="Normal (Web)"/>
    <w:basedOn w:val="1"/>
    <w:unhideWhenUsed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  <w:bCs/>
    </w:rPr>
  </w:style>
  <w:style w:type="paragraph" w:customStyle="1" w:styleId="11">
    <w:name w:val="题目"/>
    <w:basedOn w:val="1"/>
    <w:qFormat/>
    <w:uiPriority w:val="0"/>
    <w:pPr>
      <w:widowControl/>
      <w:spacing w:line="560" w:lineRule="exact"/>
      <w:ind w:firstLine="883" w:firstLineChars="200"/>
      <w:jc w:val="center"/>
    </w:pPr>
    <w:rPr>
      <w:rFonts w:hint="eastAsia" w:ascii="方正小标宋简体" w:hAnsi="方正小标宋简体" w:eastAsia="方正小标宋简体" w:cs="方正小标宋简体"/>
      <w:b/>
      <w:bCs/>
      <w:color w:val="000000"/>
      <w:kern w:val="0"/>
      <w:sz w:val="44"/>
      <w:szCs w:val="44"/>
      <w:shd w:val="clear" w:fill="FFFFFF"/>
      <w:lang w:bidi="ar"/>
    </w:rPr>
  </w:style>
  <w:style w:type="paragraph" w:customStyle="1" w:styleId="12">
    <w:name w:val="一级标题"/>
    <w:basedOn w:val="1"/>
    <w:qFormat/>
    <w:uiPriority w:val="0"/>
    <w:pPr>
      <w:widowControl/>
      <w:spacing w:line="440" w:lineRule="exact"/>
      <w:ind w:firstLine="640" w:firstLineChars="200"/>
    </w:pPr>
    <w:rPr>
      <w:rFonts w:hint="eastAsia" w:ascii="黑体" w:hAnsi="黑体" w:eastAsia="黑体" w:cs="黑体"/>
      <w:color w:val="000000"/>
      <w:sz w:val="32"/>
      <w:szCs w:val="32"/>
    </w:rPr>
  </w:style>
  <w:style w:type="paragraph" w:customStyle="1" w:styleId="13">
    <w:name w:val="仿宋-正文"/>
    <w:basedOn w:val="1"/>
    <w:link w:val="16"/>
    <w:qFormat/>
    <w:uiPriority w:val="0"/>
    <w:pPr>
      <w:spacing w:after="240" w:line="600" w:lineRule="exact"/>
      <w:ind w:firstLine="640" w:firstLineChars="200"/>
    </w:pPr>
    <w:rPr>
      <w:rFonts w:hint="eastAsia" w:ascii="Times New Roman" w:hAnsi="Times New Roman" w:eastAsia="仿宋_GB2312"/>
      <w:color w:val="000000"/>
      <w:szCs w:val="32"/>
    </w:rPr>
  </w:style>
  <w:style w:type="character" w:customStyle="1" w:styleId="14">
    <w:name w:val="标题 1 Char"/>
    <w:link w:val="4"/>
    <w:qFormat/>
    <w:uiPriority w:val="0"/>
    <w:rPr>
      <w:rFonts w:eastAsia="黑体" w:asciiTheme="minorAscii" w:hAnsiTheme="minorAscii" w:cstheme="minorBidi"/>
      <w:kern w:val="44"/>
      <w:sz w:val="32"/>
    </w:rPr>
  </w:style>
  <w:style w:type="paragraph" w:customStyle="1" w:styleId="15">
    <w:name w:val="二级标题"/>
    <w:basedOn w:val="1"/>
    <w:qFormat/>
    <w:uiPriority w:val="0"/>
    <w:pPr>
      <w:widowControl/>
      <w:tabs>
        <w:tab w:val="left" w:pos="1260"/>
      </w:tabs>
      <w:adjustRightInd w:val="0"/>
      <w:snapToGrid w:val="0"/>
      <w:spacing w:after="240" w:line="600" w:lineRule="exact"/>
      <w:ind w:firstLine="640"/>
    </w:pPr>
    <w:rPr>
      <w:rFonts w:ascii="Times New Roman" w:hAnsi="Times New Roman" w:eastAsia="仿宋_GB2312" w:cs="Times New Roman"/>
      <w:szCs w:val="32"/>
    </w:rPr>
  </w:style>
  <w:style w:type="character" w:customStyle="1" w:styleId="16">
    <w:name w:val="仿宋-正文 Char"/>
    <w:link w:val="13"/>
    <w:qFormat/>
    <w:uiPriority w:val="0"/>
    <w:rPr>
      <w:rFonts w:hint="eastAsia" w:ascii="Times New Roman" w:hAnsi="Times New Roman" w:eastAsia="仿宋_GB2312" w:cs="Times New Roman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1569</Words>
  <Characters>1857</Characters>
  <Lines>0</Lines>
  <Paragraphs>0</Paragraphs>
  <TotalTime>18</TotalTime>
  <ScaleCrop>false</ScaleCrop>
  <LinksUpToDate>false</LinksUpToDate>
  <CharactersWithSpaces>1857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2024-09-03T12:16:00Z</dcterms:created>
  <dc:creator>褪色也深./</dc:creator>
  <cp:lastModifiedBy>貓貓</cp:lastModifiedBy>
  <dcterms:modified xsi:type="dcterms:W3CDTF">2024-09-12T09:01:24Z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9A4A7B15B58E4EAEBBBB2729C5EF5EB3</vt:lpwstr>
  </property>
</Properties>
</file>