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C06C2">
      <w:pPr>
        <w:spacing w:line="480" w:lineRule="auto"/>
        <w:jc w:val="left"/>
        <w:rPr>
          <w:rFonts w:hint="eastAsia" w:ascii="宋体" w:hAnsi="宋体" w:eastAsia="宋体" w:cs="宋体"/>
          <w:b/>
          <w:sz w:val="36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44"/>
          <w:lang w:eastAsia="zh-CN"/>
        </w:rPr>
        <w:drawing>
          <wp:inline distT="0" distB="0" distL="114300" distR="114300">
            <wp:extent cx="1939290" cy="732155"/>
            <wp:effectExtent l="0" t="0" r="3810" b="10795"/>
            <wp:docPr id="1" name="图片 1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051627D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2D978FD3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2E178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984C44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74769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CE9E16D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3A1EC96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7E8C80A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9AFF4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CFB2223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62F07FCD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45519A9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143CDE9C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5D43D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9F11E5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3DD175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3CB0F0F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53655F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DAFBA5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9AD08A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4E7B3FE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B37A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ABBAEF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7A4984DE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5034F3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AB2FDEC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7910353E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2ED783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A878959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B0994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6B3D7A6A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4AC5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81129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04B661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78C36DC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F55C4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512A18B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3D95C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6E87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EE18B6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21BC709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4CD08B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2010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60380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8D718E6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088415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A8AC02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FB71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4989A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BEB8BD7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680F649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C2474B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0899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CC3F7F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001C6F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34348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D5701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24CD4DE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EA93A8A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2506C82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53FF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D28BF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FCC6121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01412EF7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A0F5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7DDEF68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0CFE505F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2FD46AEB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C1FE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BA0728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57B3EA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68309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2E1513F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E53025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1497B37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3F2F678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101AE44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2DD8AC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F40D19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1D19A17C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  <w:rsid w:val="6C59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A硕博招聘专员</cp:lastModifiedBy>
  <dcterms:modified xsi:type="dcterms:W3CDTF">2025-03-21T08:33:47Z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eyJoZGlkIjoiMTg2NDJkZTBiOGRhZDgxZmUxYTQxMjNmMTI2NDdkZDAiLCJ1c2VySWQiOiIxMjAxNTk5Njg2In0=</vt:lpwstr>
  </property>
  <property fmtid="{D5CDD505-2E9C-101B-9397-08002B2CF9AE}" pid="4" name="ICV">
    <vt:lpwstr>D83F4C9332CB4E438CFC3353FD961FAF_12</vt:lpwstr>
  </property>
</Properties>
</file>